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33" w:rsidRPr="003F035D" w:rsidRDefault="007B3033" w:rsidP="007B3033">
      <w:pPr>
        <w:jc w:val="both"/>
        <w:rPr>
          <w:rFonts w:cs="Calibri"/>
        </w:rPr>
      </w:pPr>
      <w:bookmarkStart w:id="0" w:name="_GoBack"/>
      <w:bookmarkEnd w:id="0"/>
    </w:p>
    <w:p w:rsidR="007B3033" w:rsidRPr="003F035D" w:rsidRDefault="007B3033" w:rsidP="007B3033">
      <w:pPr>
        <w:pStyle w:val="Default"/>
        <w:jc w:val="center"/>
        <w:rPr>
          <w:rFonts w:ascii="Calibri" w:hAnsi="Calibri" w:cs="Calibri"/>
          <w:b/>
          <w:bCs/>
          <w:iCs/>
          <w:sz w:val="22"/>
          <w:szCs w:val="22"/>
        </w:rPr>
      </w:pPr>
      <w:r w:rsidRPr="003F035D">
        <w:rPr>
          <w:rFonts w:ascii="Calibri" w:hAnsi="Calibri" w:cs="Calibri"/>
          <w:b/>
          <w:bCs/>
          <w:iCs/>
          <w:sz w:val="22"/>
          <w:szCs w:val="22"/>
        </w:rPr>
        <w:t>ANEXO II</w:t>
      </w:r>
    </w:p>
    <w:p w:rsidR="007B3033" w:rsidRPr="003F035D" w:rsidRDefault="007B3033" w:rsidP="007B3033">
      <w:pPr>
        <w:pStyle w:val="Default"/>
        <w:jc w:val="center"/>
        <w:rPr>
          <w:rFonts w:ascii="Calibri" w:hAnsi="Calibri" w:cs="Calibri"/>
          <w:sz w:val="22"/>
          <w:szCs w:val="22"/>
        </w:rPr>
      </w:pPr>
    </w:p>
    <w:p w:rsidR="007B3033" w:rsidRPr="003F035D" w:rsidRDefault="007B3033" w:rsidP="007B3033">
      <w:pPr>
        <w:pStyle w:val="Default"/>
        <w:jc w:val="center"/>
        <w:rPr>
          <w:rFonts w:ascii="Calibri" w:hAnsi="Calibri" w:cs="Calibri"/>
          <w:i/>
          <w:sz w:val="22"/>
          <w:szCs w:val="22"/>
        </w:rPr>
      </w:pPr>
      <w:r w:rsidRPr="003F035D">
        <w:rPr>
          <w:rFonts w:ascii="Calibri" w:hAnsi="Calibri" w:cs="Calibri"/>
          <w:b/>
          <w:bCs/>
          <w:i/>
          <w:iCs/>
          <w:sz w:val="22"/>
          <w:szCs w:val="22"/>
        </w:rPr>
        <w:t>CUMPLIMIENTO PRINCIPIOS GENERALES MECANISMO DE RECUPERACIÓN Y RESILIENCIA</w:t>
      </w:r>
    </w:p>
    <w:p w:rsidR="007B3033" w:rsidRPr="003F035D" w:rsidRDefault="007B3033" w:rsidP="007B3033">
      <w:pPr>
        <w:pStyle w:val="Default"/>
        <w:jc w:val="both"/>
        <w:rPr>
          <w:rFonts w:ascii="Calibri" w:hAnsi="Calibri" w:cs="Calibri"/>
          <w:b/>
          <w:bCs/>
          <w:sz w:val="22"/>
          <w:szCs w:val="22"/>
        </w:rPr>
      </w:pPr>
    </w:p>
    <w:p w:rsidR="007B3033" w:rsidRPr="003F035D" w:rsidRDefault="007B3033" w:rsidP="007B3033">
      <w:pPr>
        <w:pStyle w:val="Default"/>
        <w:jc w:val="both"/>
        <w:rPr>
          <w:rFonts w:ascii="Calibri" w:hAnsi="Calibri" w:cs="Calibri"/>
          <w:b/>
          <w:bCs/>
          <w:sz w:val="22"/>
          <w:szCs w:val="22"/>
        </w:rPr>
      </w:pPr>
    </w:p>
    <w:p w:rsidR="007B3033" w:rsidRPr="003F035D" w:rsidRDefault="007B3033" w:rsidP="007B3033">
      <w:pPr>
        <w:pStyle w:val="Default"/>
        <w:jc w:val="both"/>
        <w:rPr>
          <w:rFonts w:ascii="Calibri" w:hAnsi="Calibri" w:cs="Calibri"/>
          <w:b/>
          <w:bCs/>
          <w:i/>
          <w:iCs/>
          <w:sz w:val="22"/>
          <w:szCs w:val="22"/>
        </w:rPr>
      </w:pPr>
      <w:r w:rsidRPr="003F035D">
        <w:rPr>
          <w:rFonts w:ascii="Calibri" w:hAnsi="Calibri" w:cs="Calibri"/>
          <w:b/>
          <w:bCs/>
          <w:sz w:val="22"/>
          <w:szCs w:val="22"/>
        </w:rPr>
        <w:t xml:space="preserve">PRINCIPIO </w:t>
      </w:r>
      <w:r w:rsidRPr="003F035D">
        <w:rPr>
          <w:rFonts w:ascii="Calibri" w:hAnsi="Calibri" w:cs="Calibri"/>
          <w:b/>
          <w:bCs/>
          <w:i/>
          <w:iCs/>
          <w:sz w:val="22"/>
          <w:szCs w:val="22"/>
        </w:rPr>
        <w:t xml:space="preserve">DO NOT SIGNIFICANT HARM </w:t>
      </w:r>
    </w:p>
    <w:p w:rsidR="007B3033" w:rsidRPr="003F035D" w:rsidRDefault="007B3033" w:rsidP="007B3033">
      <w:pPr>
        <w:pStyle w:val="Default"/>
        <w:jc w:val="both"/>
        <w:rPr>
          <w:rFonts w:ascii="Calibri" w:hAnsi="Calibri" w:cs="Calibri"/>
          <w:sz w:val="22"/>
          <w:szCs w:val="22"/>
        </w:rPr>
      </w:pPr>
    </w:p>
    <w:p w:rsidR="007B3033" w:rsidRPr="003F035D" w:rsidRDefault="007B3033" w:rsidP="007B3033">
      <w:pPr>
        <w:pStyle w:val="Default"/>
        <w:jc w:val="both"/>
        <w:rPr>
          <w:rFonts w:ascii="Calibri" w:hAnsi="Calibri" w:cs="Calibri"/>
          <w:i/>
          <w:color w:val="auto"/>
          <w:sz w:val="22"/>
          <w:szCs w:val="22"/>
        </w:rPr>
      </w:pPr>
    </w:p>
    <w:p w:rsidR="007B3033" w:rsidRDefault="007B3033" w:rsidP="007B3033">
      <w:pPr>
        <w:pStyle w:val="Default"/>
        <w:jc w:val="both"/>
        <w:rPr>
          <w:rFonts w:ascii="Calibri" w:hAnsi="Calibri" w:cs="Calibri"/>
          <w:sz w:val="22"/>
          <w:szCs w:val="22"/>
        </w:rPr>
      </w:pPr>
      <w:r>
        <w:rPr>
          <w:rFonts w:ascii="Calibri" w:hAnsi="Calibri" w:cs="Calibri"/>
          <w:sz w:val="22"/>
          <w:szCs w:val="22"/>
        </w:rPr>
        <w:t xml:space="preserve">Esta actuación  </w:t>
      </w:r>
      <w:r w:rsidRPr="003F035D">
        <w:rPr>
          <w:rFonts w:ascii="Calibri" w:hAnsi="Calibri" w:cs="Calibri"/>
          <w:sz w:val="22"/>
          <w:szCs w:val="22"/>
        </w:rPr>
        <w:t>no afecta a las emisiones de gases efecto invernadero, ni provoca un aumento de los efectos adversos de las condiciones climáticas actuales y/o futuras, no utiliza recursos hídricos o marinos, no genera residuos, no genera emisiones contaminantes a la atmósfera y por tanto no causa un perjuicio o tiene influencia en el medio ambiente, ni afecta a la biodiversidad o a los ecosistemas</w:t>
      </w:r>
      <w:r>
        <w:rPr>
          <w:rFonts w:ascii="Calibri" w:hAnsi="Calibri" w:cs="Calibri"/>
          <w:sz w:val="22"/>
          <w:szCs w:val="22"/>
        </w:rPr>
        <w:t>.</w:t>
      </w:r>
    </w:p>
    <w:p w:rsidR="007B3033" w:rsidRDefault="007B3033" w:rsidP="007B3033">
      <w:pPr>
        <w:pStyle w:val="Default"/>
        <w:jc w:val="both"/>
        <w:rPr>
          <w:rFonts w:ascii="Calibri" w:hAnsi="Calibri" w:cs="Calibri"/>
          <w:sz w:val="22"/>
          <w:szCs w:val="22"/>
        </w:rPr>
      </w:pPr>
      <w:r w:rsidRPr="003F035D">
        <w:rPr>
          <w:rFonts w:ascii="Calibri" w:hAnsi="Calibri" w:cs="Calibri"/>
          <w:sz w:val="22"/>
          <w:szCs w:val="22"/>
        </w:rPr>
        <w:t xml:space="preserve"> La </w:t>
      </w:r>
      <w:r>
        <w:rPr>
          <w:rFonts w:ascii="Calibri" w:hAnsi="Calibri" w:cs="Calibri"/>
          <w:sz w:val="22"/>
          <w:szCs w:val="22"/>
        </w:rPr>
        <w:t>actuación</w:t>
      </w:r>
      <w:r w:rsidRPr="003F035D">
        <w:rPr>
          <w:rFonts w:ascii="Calibri" w:hAnsi="Calibri" w:cs="Calibri"/>
          <w:sz w:val="22"/>
          <w:szCs w:val="22"/>
        </w:rPr>
        <w:t xml:space="preserve"> tiene un impacto previsible nulo o insignificante sobre el objetivo medioambiental relacionado dada su naturaleza. </w:t>
      </w:r>
    </w:p>
    <w:p w:rsidR="007B3033" w:rsidRDefault="007B3033" w:rsidP="007B3033">
      <w:pPr>
        <w:pStyle w:val="Default"/>
        <w:jc w:val="both"/>
        <w:rPr>
          <w:rFonts w:ascii="Calibri" w:hAnsi="Calibri" w:cs="Calibri"/>
          <w:sz w:val="22"/>
          <w:szCs w:val="22"/>
        </w:rPr>
      </w:pPr>
    </w:p>
    <w:p w:rsidR="007B3033" w:rsidRPr="003F035D" w:rsidRDefault="007B3033" w:rsidP="007B3033">
      <w:pPr>
        <w:pStyle w:val="Default"/>
        <w:jc w:val="both"/>
        <w:rPr>
          <w:rFonts w:ascii="Calibri" w:hAnsi="Calibri" w:cs="Calibri"/>
          <w:i/>
          <w:color w:val="auto"/>
          <w:sz w:val="22"/>
          <w:szCs w:val="22"/>
        </w:rPr>
      </w:pPr>
      <w:r>
        <w:rPr>
          <w:rFonts w:ascii="Calibri" w:hAnsi="Calibri" w:cs="Calibri"/>
          <w:sz w:val="22"/>
          <w:szCs w:val="22"/>
        </w:rPr>
        <w:t xml:space="preserve">Se adjunta </w:t>
      </w:r>
      <w:r w:rsidRPr="000F1137">
        <w:rPr>
          <w:rFonts w:ascii="Calibri" w:hAnsi="Calibri" w:cs="Calibri"/>
          <w:i/>
          <w:color w:val="auto"/>
          <w:sz w:val="22"/>
          <w:szCs w:val="22"/>
        </w:rPr>
        <w:t xml:space="preserve"> Anexo a continuación</w:t>
      </w:r>
      <w:r w:rsidRPr="003F035D">
        <w:rPr>
          <w:rFonts w:ascii="Calibri" w:hAnsi="Calibri" w:cs="Calibri"/>
          <w:i/>
          <w:color w:val="auto"/>
          <w:sz w:val="22"/>
          <w:szCs w:val="22"/>
        </w:rPr>
        <w:t xml:space="preserve"> </w:t>
      </w:r>
    </w:p>
    <w:p w:rsidR="007B3033" w:rsidRDefault="007B3033" w:rsidP="007B3033">
      <w:pPr>
        <w:pStyle w:val="Default"/>
        <w:jc w:val="both"/>
        <w:rPr>
          <w:rFonts w:ascii="Calibri" w:hAnsi="Calibri" w:cs="Calibri"/>
          <w:sz w:val="22"/>
          <w:szCs w:val="22"/>
        </w:rPr>
      </w:pPr>
    </w:p>
    <w:p w:rsidR="007B3033" w:rsidRPr="003F035D" w:rsidRDefault="007B3033" w:rsidP="007B3033">
      <w:pPr>
        <w:pStyle w:val="Default"/>
        <w:jc w:val="both"/>
        <w:rPr>
          <w:rFonts w:ascii="Calibri" w:hAnsi="Calibri" w:cs="Calibri"/>
          <w:sz w:val="22"/>
          <w:szCs w:val="22"/>
        </w:rPr>
      </w:pPr>
    </w:p>
    <w:p w:rsidR="007B3033" w:rsidRPr="003F035D" w:rsidRDefault="007B3033" w:rsidP="007B3033">
      <w:pPr>
        <w:pStyle w:val="Default"/>
        <w:jc w:val="both"/>
        <w:rPr>
          <w:rFonts w:ascii="Calibri" w:hAnsi="Calibri" w:cs="Calibri"/>
          <w:sz w:val="22"/>
          <w:szCs w:val="22"/>
        </w:rPr>
      </w:pPr>
    </w:p>
    <w:p w:rsidR="007B3033" w:rsidRPr="003F035D" w:rsidRDefault="007B3033" w:rsidP="007B3033">
      <w:pPr>
        <w:pStyle w:val="Default"/>
        <w:jc w:val="both"/>
        <w:rPr>
          <w:rFonts w:ascii="Calibri" w:hAnsi="Calibri" w:cs="Calibri"/>
          <w:b/>
          <w:bCs/>
          <w:i/>
          <w:sz w:val="22"/>
          <w:szCs w:val="22"/>
        </w:rPr>
      </w:pPr>
      <w:r w:rsidRPr="003F035D">
        <w:rPr>
          <w:rFonts w:ascii="Calibri" w:hAnsi="Calibri" w:cs="Calibri"/>
          <w:b/>
          <w:bCs/>
          <w:i/>
          <w:sz w:val="22"/>
          <w:szCs w:val="22"/>
        </w:rPr>
        <w:t xml:space="preserve">PREVENCIÓN DOBLE FINANCIACIÓN </w:t>
      </w:r>
    </w:p>
    <w:p w:rsidR="007B3033" w:rsidRPr="003F035D" w:rsidRDefault="007B3033" w:rsidP="007B3033">
      <w:pPr>
        <w:pStyle w:val="Default"/>
        <w:jc w:val="both"/>
        <w:rPr>
          <w:rFonts w:ascii="Calibri" w:hAnsi="Calibri" w:cs="Calibri"/>
          <w:sz w:val="22"/>
          <w:szCs w:val="22"/>
        </w:rPr>
      </w:pPr>
    </w:p>
    <w:p w:rsidR="007B3033" w:rsidRPr="003F035D" w:rsidRDefault="007B3033" w:rsidP="007B3033">
      <w:pPr>
        <w:jc w:val="both"/>
        <w:rPr>
          <w:rFonts w:cs="Calibri"/>
        </w:rPr>
      </w:pPr>
      <w:r w:rsidRPr="003F035D">
        <w:rPr>
          <w:rFonts w:cs="Calibri"/>
        </w:rPr>
        <w:t>Esta actuación no está financiada por otro fondo de la Unión Europea distinto del MRR y, por tanto, cumple el principio general de no doble financiación y respeto a los intereses financieros de la Unión.</w:t>
      </w:r>
    </w:p>
    <w:p w:rsidR="007B3033" w:rsidRPr="003F035D" w:rsidRDefault="007B3033" w:rsidP="007B3033">
      <w:pPr>
        <w:jc w:val="both"/>
        <w:rPr>
          <w:rFonts w:cs="Calibri"/>
          <w:b/>
        </w:rPr>
      </w:pPr>
    </w:p>
    <w:p w:rsidR="007B3033" w:rsidRPr="003F035D" w:rsidRDefault="007B3033" w:rsidP="007B3033">
      <w:pPr>
        <w:rPr>
          <w:rFonts w:cs="Calibri"/>
        </w:rPr>
      </w:pPr>
    </w:p>
    <w:p w:rsidR="007B3033" w:rsidRPr="003F035D" w:rsidRDefault="002F603C" w:rsidP="007B3033">
      <w:pPr>
        <w:rPr>
          <w:rFonts w:cs="Calibri"/>
        </w:rPr>
      </w:pPr>
      <w:r>
        <w:rPr>
          <w:rFonts w:cs="Calibri"/>
          <w:noProof/>
        </w:rPr>
        <w:pict>
          <v:shapetype id="_x0000_t202" coordsize="21600,21600" o:spt="202" path="m,l,21600r21600,l21600,xe">
            <v:stroke joinstyle="miter"/>
            <v:path gradientshapeok="t" o:connecttype="rect"/>
          </v:shapetype>
          <v:shape id="_x0000_s1026" type="#_x0000_t202" style="position:absolute;margin-left:67.6pt;margin-top:11.1pt;width:224.45pt;height:71.3pt;z-index:-251658752;mso-wrap-distance-left:0;mso-wrap-distance-right:0" wrapcoords="-72 -227 -72 21373 21672 21373 21672 -227 -72 -227" strokeweight=".5pt">
            <v:fill color2="black"/>
            <v:textbox inset="7.45pt,3.85pt,7.45pt,3.85pt">
              <w:txbxContent>
                <w:p w:rsidR="007B3033" w:rsidRDefault="007B3033" w:rsidP="007B3033">
                  <w:r>
                    <w:rPr>
                      <w:rFonts w:ascii="Arial" w:hAnsi="Arial" w:cs="Arial"/>
                      <w:sz w:val="18"/>
                      <w:szCs w:val="18"/>
                    </w:rPr>
                    <w:t xml:space="preserve">Firma </w:t>
                  </w:r>
                </w:p>
              </w:txbxContent>
            </v:textbox>
            <w10:wrap type="through"/>
          </v:shape>
        </w:pict>
      </w: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pPr>
    </w:p>
    <w:p w:rsidR="007B3033" w:rsidRDefault="007B3033" w:rsidP="007B3033">
      <w:pPr>
        <w:rPr>
          <w:rFonts w:cs="Calibri"/>
        </w:rPr>
        <w:sectPr w:rsidR="007B3033" w:rsidSect="00615A3E">
          <w:headerReference w:type="default" r:id="rId7"/>
          <w:footerReference w:type="default" r:id="rId8"/>
          <w:pgSz w:w="11906" w:h="16838"/>
          <w:pgMar w:top="1417" w:right="1701" w:bottom="1417" w:left="1701" w:header="708" w:footer="708" w:gutter="0"/>
          <w:cols w:space="708"/>
          <w:docGrid w:linePitch="360"/>
        </w:sectPr>
      </w:pPr>
    </w:p>
    <w:tbl>
      <w:tblPr>
        <w:tblpPr w:leftFromText="141" w:rightFromText="141" w:vertAnchor="page" w:horzAnchor="margin" w:tblpY="1816"/>
        <w:tblW w:w="14813" w:type="dxa"/>
        <w:tblCellMar>
          <w:left w:w="70" w:type="dxa"/>
          <w:right w:w="70" w:type="dxa"/>
        </w:tblCellMar>
        <w:tblLook w:val="04A0" w:firstRow="1" w:lastRow="0" w:firstColumn="1" w:lastColumn="0" w:noHBand="0" w:noVBand="1"/>
      </w:tblPr>
      <w:tblGrid>
        <w:gridCol w:w="2748"/>
        <w:gridCol w:w="441"/>
        <w:gridCol w:w="437"/>
        <w:gridCol w:w="11187"/>
      </w:tblGrid>
      <w:tr w:rsidR="007B3033" w:rsidRPr="003F035D" w:rsidTr="007B3033">
        <w:trPr>
          <w:trHeight w:val="525"/>
        </w:trPr>
        <w:tc>
          <w:tcPr>
            <w:tcW w:w="14813"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B3033" w:rsidRPr="003F035D" w:rsidRDefault="007B3033" w:rsidP="007B3033">
            <w:pPr>
              <w:jc w:val="center"/>
              <w:rPr>
                <w:rFonts w:cs="Calibri"/>
                <w:b/>
                <w:color w:val="000000"/>
              </w:rPr>
            </w:pPr>
            <w:r w:rsidRPr="003F035D">
              <w:rPr>
                <w:rFonts w:cs="Calibri"/>
                <w:b/>
                <w:color w:val="000000"/>
              </w:rPr>
              <w:lastRenderedPageBreak/>
              <w:t>CUMPLIMIENTO DEL PRINCIPIO “DNSH”</w:t>
            </w:r>
          </w:p>
        </w:tc>
      </w:tr>
      <w:tr w:rsidR="007B3033" w:rsidRPr="003F035D" w:rsidTr="007B3033">
        <w:trPr>
          <w:trHeight w:val="525"/>
        </w:trPr>
        <w:tc>
          <w:tcPr>
            <w:tcW w:w="27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B3033" w:rsidRPr="003F035D" w:rsidRDefault="007B3033" w:rsidP="007B3033">
            <w:pPr>
              <w:jc w:val="center"/>
              <w:rPr>
                <w:rFonts w:cs="Calibri"/>
                <w:b/>
                <w:color w:val="000000"/>
              </w:rPr>
            </w:pPr>
            <w:r w:rsidRPr="003F035D">
              <w:rPr>
                <w:rFonts w:cs="Calibri"/>
                <w:b/>
                <w:color w:val="000000"/>
              </w:rPr>
              <w:t>Indique cuáles de los siguientes objetivos medioambientales requieren una evaluación sustantiva según el principio DNSH de la medida</w:t>
            </w:r>
          </w:p>
        </w:tc>
        <w:tc>
          <w:tcPr>
            <w:tcW w:w="441" w:type="dxa"/>
            <w:tcBorders>
              <w:top w:val="single" w:sz="8" w:space="0" w:color="auto"/>
              <w:left w:val="nil"/>
              <w:bottom w:val="single" w:sz="8" w:space="0" w:color="auto"/>
              <w:right w:val="single" w:sz="4" w:space="0" w:color="auto"/>
            </w:tcBorders>
            <w:shd w:val="clear" w:color="auto" w:fill="auto"/>
            <w:vAlign w:val="center"/>
            <w:hideMark/>
          </w:tcPr>
          <w:p w:rsidR="007B3033" w:rsidRPr="003F035D" w:rsidRDefault="007B3033" w:rsidP="007B3033">
            <w:pPr>
              <w:jc w:val="center"/>
              <w:rPr>
                <w:rFonts w:cs="Calibri"/>
                <w:b/>
                <w:color w:val="000000"/>
              </w:rPr>
            </w:pPr>
            <w:r w:rsidRPr="003F035D">
              <w:rPr>
                <w:rFonts w:cs="Calibri"/>
                <w:b/>
                <w:color w:val="000000"/>
              </w:rPr>
              <w:t xml:space="preserve">Si </w:t>
            </w:r>
          </w:p>
        </w:tc>
        <w:tc>
          <w:tcPr>
            <w:tcW w:w="437" w:type="dxa"/>
            <w:tcBorders>
              <w:top w:val="single" w:sz="8" w:space="0" w:color="auto"/>
              <w:left w:val="nil"/>
              <w:bottom w:val="single" w:sz="8" w:space="0" w:color="auto"/>
              <w:right w:val="single" w:sz="8" w:space="0" w:color="auto"/>
            </w:tcBorders>
            <w:shd w:val="clear" w:color="auto" w:fill="auto"/>
            <w:vAlign w:val="center"/>
            <w:hideMark/>
          </w:tcPr>
          <w:p w:rsidR="007B3033" w:rsidRPr="003F035D" w:rsidRDefault="007B3033" w:rsidP="007B3033">
            <w:pPr>
              <w:jc w:val="center"/>
              <w:rPr>
                <w:rFonts w:cs="Calibri"/>
                <w:b/>
                <w:color w:val="000000"/>
              </w:rPr>
            </w:pPr>
            <w:r w:rsidRPr="003F035D">
              <w:rPr>
                <w:rFonts w:cs="Calibri"/>
                <w:b/>
                <w:color w:val="000000"/>
              </w:rPr>
              <w:t>No</w:t>
            </w:r>
          </w:p>
        </w:tc>
        <w:tc>
          <w:tcPr>
            <w:tcW w:w="1118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B3033" w:rsidRPr="003F035D" w:rsidRDefault="007B3033" w:rsidP="007B3033">
            <w:pPr>
              <w:jc w:val="center"/>
              <w:rPr>
                <w:rFonts w:cs="Calibri"/>
                <w:b/>
                <w:color w:val="000000"/>
              </w:rPr>
            </w:pPr>
            <w:r w:rsidRPr="003F035D">
              <w:rPr>
                <w:rFonts w:cs="Calibri"/>
                <w:b/>
                <w:color w:val="000000"/>
              </w:rPr>
              <w:t xml:space="preserve">Justificación </w:t>
            </w:r>
          </w:p>
        </w:tc>
      </w:tr>
      <w:tr w:rsidR="007B3033" w:rsidRPr="003F035D" w:rsidTr="007B3033">
        <w:trPr>
          <w:trHeight w:val="1996"/>
        </w:trPr>
        <w:tc>
          <w:tcPr>
            <w:tcW w:w="2748" w:type="dxa"/>
            <w:tcBorders>
              <w:top w:val="nil"/>
              <w:left w:val="single" w:sz="8" w:space="0" w:color="auto"/>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t xml:space="preserve">Mitigación del cambio climático </w:t>
            </w:r>
          </w:p>
        </w:tc>
        <w:tc>
          <w:tcPr>
            <w:tcW w:w="441"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437"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t> </w:t>
            </w:r>
          </w:p>
        </w:tc>
        <w:tc>
          <w:tcPr>
            <w:tcW w:w="11187"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05260A">
            <w:pPr>
              <w:jc w:val="center"/>
              <w:rPr>
                <w:rFonts w:cs="Calibri"/>
                <w:color w:val="000000"/>
              </w:rPr>
            </w:pPr>
            <w:r w:rsidRPr="00CF6E0B">
              <w:rPr>
                <w:rFonts w:cs="Calibri"/>
                <w:color w:val="000000"/>
              </w:rPr>
              <w:t>Esta actuación en cuanto</w:t>
            </w:r>
            <w:r>
              <w:rPr>
                <w:rFonts w:cs="Calibri"/>
                <w:color w:val="000000"/>
              </w:rPr>
              <w:t xml:space="preserve"> que</w:t>
            </w:r>
            <w:r w:rsidRPr="00CF6E0B">
              <w:rPr>
                <w:rFonts w:cs="Calibri"/>
                <w:color w:val="000000"/>
              </w:rPr>
              <w:t xml:space="preserve"> supone la realización de </w:t>
            </w:r>
            <w:r w:rsidR="0005260A" w:rsidRPr="0005260A">
              <w:rPr>
                <w:rFonts w:cs="Calibri"/>
                <w:color w:val="FF0000"/>
              </w:rPr>
              <w:t>XXXXXXXXXXXXXX</w:t>
            </w:r>
            <w:r w:rsidRPr="0005260A">
              <w:rPr>
                <w:rFonts w:cs="Calibri"/>
                <w:color w:val="FF0000"/>
              </w:rPr>
              <w:t>, es decir, trabajos de consultoría</w:t>
            </w:r>
            <w:r w:rsidRPr="00CF6E0B">
              <w:rPr>
                <w:rFonts w:cs="Calibri"/>
                <w:color w:val="000000"/>
              </w:rPr>
              <w:t xml:space="preserve"> que finalmente y de forma residual requerirá la utilización de equipos informáticos, estos cumplirán con los requisitos relacionados con el consumo energético establecidos de acuerdo con la Directiva 2009/125 / EC para servidores y almacenamiento de datos, o computadoras y servidores de computadoras o pantallas electrónicas.</w:t>
            </w:r>
          </w:p>
        </w:tc>
      </w:tr>
      <w:tr w:rsidR="007B3033" w:rsidRPr="003F035D" w:rsidTr="007B3033">
        <w:trPr>
          <w:trHeight w:val="1446"/>
        </w:trPr>
        <w:tc>
          <w:tcPr>
            <w:tcW w:w="2748" w:type="dxa"/>
            <w:tcBorders>
              <w:top w:val="nil"/>
              <w:left w:val="single" w:sz="8" w:space="0" w:color="auto"/>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t>Adaptación al cambio climático</w:t>
            </w:r>
          </w:p>
        </w:tc>
        <w:tc>
          <w:tcPr>
            <w:tcW w:w="441"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437"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11187"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CF6E0B">
              <w:rPr>
                <w:rFonts w:cs="Calibri"/>
                <w:color w:val="000000"/>
              </w:rPr>
              <w:t xml:space="preserve">Según el documento "Impactos y riesgos derivados del cambio climático en España" (2020), </w:t>
            </w:r>
            <w:r>
              <w:rPr>
                <w:rFonts w:cs="Calibri"/>
                <w:color w:val="000000"/>
              </w:rPr>
              <w:t>e</w:t>
            </w:r>
            <w:r w:rsidRPr="00CF6E0B">
              <w:rPr>
                <w:rFonts w:cs="Calibri"/>
                <w:color w:val="000000"/>
              </w:rPr>
              <w:t xml:space="preserve">sta actuación en cuanto </w:t>
            </w:r>
            <w:r>
              <w:rPr>
                <w:rFonts w:cs="Calibri"/>
                <w:color w:val="000000"/>
              </w:rPr>
              <w:t xml:space="preserve">que </w:t>
            </w:r>
            <w:r w:rsidRPr="00CF6E0B">
              <w:rPr>
                <w:rFonts w:cs="Calibri"/>
                <w:color w:val="000000"/>
              </w:rPr>
              <w:t xml:space="preserve">supone la realización </w:t>
            </w:r>
            <w:r w:rsidR="0005260A" w:rsidRPr="0005260A">
              <w:rPr>
                <w:rFonts w:cs="Calibri"/>
                <w:color w:val="FF0000"/>
              </w:rPr>
              <w:t xml:space="preserve"> </w:t>
            </w:r>
            <w:r w:rsidR="0005260A">
              <w:rPr>
                <w:rFonts w:cs="Calibri"/>
                <w:color w:val="FF0000"/>
              </w:rPr>
              <w:t xml:space="preserve">de </w:t>
            </w:r>
            <w:r w:rsidR="0005260A" w:rsidRPr="0005260A">
              <w:rPr>
                <w:rFonts w:cs="Calibri"/>
                <w:color w:val="FF0000"/>
              </w:rPr>
              <w:t>XXXXXXXXXXXXXX, es decir, trabajos de consultoría</w:t>
            </w:r>
            <w:r w:rsidR="0005260A" w:rsidRPr="00CF6E0B">
              <w:rPr>
                <w:rFonts w:cs="Calibri"/>
                <w:color w:val="000000"/>
              </w:rPr>
              <w:t xml:space="preserve"> </w:t>
            </w:r>
            <w:r w:rsidRPr="00CF6E0B">
              <w:rPr>
                <w:rFonts w:cs="Calibri"/>
                <w:color w:val="000000"/>
              </w:rPr>
              <w:t xml:space="preserve">que finalmente y de forma residual requerirá la utilización de equipos informáticos, </w:t>
            </w:r>
            <w:r>
              <w:rPr>
                <w:rFonts w:cs="Calibri"/>
                <w:color w:val="000000"/>
              </w:rPr>
              <w:t>no se prevé que provoque impacto significativo.</w:t>
            </w:r>
          </w:p>
        </w:tc>
      </w:tr>
      <w:tr w:rsidR="007B3033" w:rsidRPr="003F035D" w:rsidTr="007B3033">
        <w:trPr>
          <w:trHeight w:val="1424"/>
        </w:trPr>
        <w:tc>
          <w:tcPr>
            <w:tcW w:w="2748" w:type="dxa"/>
            <w:tcBorders>
              <w:top w:val="nil"/>
              <w:left w:val="single" w:sz="8" w:space="0" w:color="auto"/>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t>Uso sostenible y protección de los</w:t>
            </w:r>
            <w:r w:rsidRPr="003F035D">
              <w:rPr>
                <w:rFonts w:cs="Calibri"/>
                <w:color w:val="000000"/>
              </w:rPr>
              <w:br/>
              <w:t>recursos hídricos y marinos</w:t>
            </w:r>
          </w:p>
        </w:tc>
        <w:tc>
          <w:tcPr>
            <w:tcW w:w="441"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437"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11187" w:type="dxa"/>
            <w:tcBorders>
              <w:top w:val="nil"/>
              <w:left w:val="nil"/>
              <w:bottom w:val="single" w:sz="4" w:space="0" w:color="auto"/>
              <w:right w:val="single" w:sz="8" w:space="0" w:color="auto"/>
            </w:tcBorders>
            <w:shd w:val="clear" w:color="auto" w:fill="auto"/>
            <w:vAlign w:val="center"/>
            <w:hideMark/>
          </w:tcPr>
          <w:p w:rsidR="007B3033" w:rsidRPr="00075D04" w:rsidRDefault="007B3033" w:rsidP="007B3033">
            <w:pPr>
              <w:rPr>
                <w:rFonts w:cs="Calibri"/>
                <w:color w:val="000000"/>
                <w:highlight w:val="yellow"/>
              </w:rPr>
            </w:pPr>
            <w:r w:rsidRPr="00CF6E0B">
              <w:rPr>
                <w:rFonts w:cs="Calibri"/>
                <w:color w:val="000000"/>
              </w:rPr>
              <w:t>Esta actuación en cuanto</w:t>
            </w:r>
            <w:r>
              <w:rPr>
                <w:rFonts w:cs="Calibri"/>
                <w:color w:val="000000"/>
              </w:rPr>
              <w:t xml:space="preserve"> que</w:t>
            </w:r>
            <w:r w:rsidRPr="00CF6E0B">
              <w:rPr>
                <w:rFonts w:cs="Calibri"/>
                <w:color w:val="000000"/>
              </w:rPr>
              <w:t xml:space="preserve"> supone la realización </w:t>
            </w:r>
            <w:r w:rsidR="0005260A" w:rsidRPr="0005260A">
              <w:rPr>
                <w:rFonts w:cs="Calibri"/>
                <w:color w:val="FF0000"/>
              </w:rPr>
              <w:t xml:space="preserve"> XXXXXXXXXXXXXX, es decir, trabajos de consultoría</w:t>
            </w:r>
            <w:r w:rsidR="0005260A" w:rsidRPr="00CF6E0B">
              <w:rPr>
                <w:rFonts w:cs="Calibri"/>
                <w:color w:val="000000"/>
              </w:rPr>
              <w:t xml:space="preserve"> </w:t>
            </w:r>
            <w:r w:rsidRPr="00CF6E0B">
              <w:rPr>
                <w:rFonts w:cs="Calibri"/>
                <w:color w:val="000000"/>
              </w:rPr>
              <w:t xml:space="preserve"> </w:t>
            </w:r>
            <w:r>
              <w:rPr>
                <w:rFonts w:cs="Calibri"/>
                <w:color w:val="000000"/>
              </w:rPr>
              <w:t xml:space="preserve">no </w:t>
            </w:r>
            <w:r w:rsidRPr="000F1137">
              <w:rPr>
                <w:rFonts w:cs="Calibri"/>
                <w:color w:val="000000"/>
              </w:rPr>
              <w:t>produce  riesgos de degradación ambiental relacionados con la conservación de la calid</w:t>
            </w:r>
            <w:r>
              <w:rPr>
                <w:rFonts w:cs="Calibri"/>
                <w:color w:val="000000"/>
              </w:rPr>
              <w:t xml:space="preserve">ad del agua y la prevención del </w:t>
            </w:r>
            <w:r w:rsidRPr="000F1137">
              <w:rPr>
                <w:rFonts w:cs="Calibri"/>
                <w:color w:val="000000"/>
              </w:rPr>
              <w:t>estrés hídrico</w:t>
            </w:r>
            <w:r>
              <w:rPr>
                <w:rFonts w:cs="Calibri"/>
                <w:color w:val="000000"/>
              </w:rPr>
              <w:t>.</w:t>
            </w:r>
            <w:r w:rsidRPr="000F1137">
              <w:rPr>
                <w:rFonts w:cs="Calibri"/>
                <w:color w:val="000000"/>
              </w:rPr>
              <w:t xml:space="preserve"> </w:t>
            </w:r>
          </w:p>
        </w:tc>
      </w:tr>
      <w:tr w:rsidR="007B3033" w:rsidRPr="003F035D" w:rsidTr="007B3033">
        <w:trPr>
          <w:trHeight w:val="3253"/>
        </w:trPr>
        <w:tc>
          <w:tcPr>
            <w:tcW w:w="2748" w:type="dxa"/>
            <w:tcBorders>
              <w:top w:val="nil"/>
              <w:left w:val="single" w:sz="8" w:space="0" w:color="auto"/>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lastRenderedPageBreak/>
              <w:t>Economía circular, incluidos la prevención y el reciclado de residuos</w:t>
            </w:r>
          </w:p>
        </w:tc>
        <w:tc>
          <w:tcPr>
            <w:tcW w:w="441"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437"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D03581">
            <w:pPr>
              <w:jc w:val="center"/>
              <w:rPr>
                <w:rFonts w:cs="Calibri"/>
                <w:color w:val="000000"/>
              </w:rPr>
            </w:pPr>
            <w:r w:rsidRPr="003F035D">
              <w:rPr>
                <w:rFonts w:cs="Calibri"/>
                <w:color w:val="000000"/>
              </w:rPr>
              <w:t xml:space="preserve">  </w:t>
            </w:r>
          </w:p>
        </w:tc>
        <w:tc>
          <w:tcPr>
            <w:tcW w:w="11187" w:type="dxa"/>
            <w:tcBorders>
              <w:top w:val="nil"/>
              <w:left w:val="nil"/>
              <w:bottom w:val="single" w:sz="4" w:space="0" w:color="auto"/>
              <w:right w:val="single" w:sz="8" w:space="0" w:color="auto"/>
            </w:tcBorders>
            <w:shd w:val="clear" w:color="auto" w:fill="auto"/>
            <w:vAlign w:val="center"/>
            <w:hideMark/>
          </w:tcPr>
          <w:p w:rsidR="007B3033" w:rsidRPr="00D114D1" w:rsidRDefault="007B3033" w:rsidP="007B3033">
            <w:pPr>
              <w:jc w:val="both"/>
              <w:rPr>
                <w:rFonts w:cs="Calibri"/>
                <w:color w:val="000000"/>
              </w:rPr>
            </w:pPr>
            <w:r w:rsidRPr="00D114D1">
              <w:rPr>
                <w:rFonts w:cs="Calibri"/>
                <w:color w:val="000000"/>
              </w:rPr>
              <w:t xml:space="preserve">Esta actuación en cuanto que supone la realización de </w:t>
            </w:r>
            <w:r w:rsidR="0005260A" w:rsidRPr="0005260A">
              <w:rPr>
                <w:rFonts w:cs="Calibri"/>
                <w:color w:val="FF0000"/>
              </w:rPr>
              <w:t xml:space="preserve"> XXXXXXXXXXXXXX, es decir, trabajos de consultoría</w:t>
            </w:r>
            <w:r w:rsidR="0005260A" w:rsidRPr="00CF6E0B">
              <w:rPr>
                <w:rFonts w:cs="Calibri"/>
                <w:color w:val="000000"/>
              </w:rPr>
              <w:t xml:space="preserve"> </w:t>
            </w:r>
            <w:r w:rsidRPr="00D114D1">
              <w:rPr>
                <w:rFonts w:cs="Calibri"/>
                <w:color w:val="000000"/>
              </w:rPr>
              <w:t>que finalmente y de forma residual requerirá la utilización de equipos informáticos, estos cumplirán con los requisitos de eficiencia de materiales establecidos de acuerdo con la Directiva 2009/125 / EC para servidores y almacenamiento de datos, u ordenadores y servidores de ordenadores o pantallas electrónicas. Los equipos no contendrán las sustancias restringidas enumeradas en el anexo II de la Directiva 2011/65 / UE, excepto cuando los valores de concentración en peso en materiales homogéneos no superen los enumerados en dicho anexo. Al final de su vida útil, el equipo</w:t>
            </w:r>
            <w:r w:rsidRPr="00D114D1">
              <w:rPr>
                <w:rFonts w:cs="Calibri"/>
                <w:color w:val="000000"/>
              </w:rPr>
              <w:br/>
              <w:t>se someterá a una preparación para operaciones de reutilización, recuperación o reciclaje, o un tratamiento adecuado, incluida la eliminación de todos los fluidos y un tratamiento selectivo de acuerdo con el Anexo VII de la Directiva 2012/19 / UE.</w:t>
            </w:r>
          </w:p>
        </w:tc>
      </w:tr>
      <w:tr w:rsidR="007B3033" w:rsidRPr="003F035D" w:rsidTr="007B3033">
        <w:trPr>
          <w:trHeight w:val="1088"/>
        </w:trPr>
        <w:tc>
          <w:tcPr>
            <w:tcW w:w="2748" w:type="dxa"/>
            <w:tcBorders>
              <w:top w:val="nil"/>
              <w:left w:val="single" w:sz="8" w:space="0" w:color="auto"/>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t>Prevención y control de la</w:t>
            </w:r>
            <w:r w:rsidRPr="003F035D">
              <w:rPr>
                <w:rFonts w:cs="Calibri"/>
                <w:color w:val="000000"/>
              </w:rPr>
              <w:br/>
              <w:t>contaminación a la atmósfera, el agua o el suelo</w:t>
            </w:r>
          </w:p>
        </w:tc>
        <w:tc>
          <w:tcPr>
            <w:tcW w:w="441"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437" w:type="dxa"/>
            <w:tcBorders>
              <w:top w:val="nil"/>
              <w:left w:val="nil"/>
              <w:bottom w:val="single" w:sz="4" w:space="0" w:color="auto"/>
              <w:right w:val="single" w:sz="8" w:space="0" w:color="auto"/>
            </w:tcBorders>
            <w:shd w:val="clear" w:color="auto" w:fill="auto"/>
            <w:vAlign w:val="center"/>
            <w:hideMark/>
          </w:tcPr>
          <w:p w:rsidR="007B3033" w:rsidRPr="003F035D" w:rsidRDefault="007B3033" w:rsidP="00D03581">
            <w:pPr>
              <w:jc w:val="center"/>
              <w:rPr>
                <w:rFonts w:cs="Calibri"/>
                <w:color w:val="000000"/>
              </w:rPr>
            </w:pPr>
            <w:r w:rsidRPr="003F035D">
              <w:rPr>
                <w:rFonts w:cs="Calibri"/>
                <w:color w:val="000000"/>
              </w:rPr>
              <w:t xml:space="preserve">  </w:t>
            </w:r>
          </w:p>
        </w:tc>
        <w:tc>
          <w:tcPr>
            <w:tcW w:w="11187" w:type="dxa"/>
            <w:tcBorders>
              <w:top w:val="nil"/>
              <w:left w:val="nil"/>
              <w:bottom w:val="single" w:sz="4" w:space="0" w:color="auto"/>
              <w:right w:val="single" w:sz="8" w:space="0" w:color="auto"/>
            </w:tcBorders>
            <w:shd w:val="clear" w:color="auto" w:fill="auto"/>
            <w:vAlign w:val="center"/>
            <w:hideMark/>
          </w:tcPr>
          <w:p w:rsidR="007B3033" w:rsidRPr="00D114D1" w:rsidRDefault="007B3033" w:rsidP="007B3033">
            <w:pPr>
              <w:rPr>
                <w:rFonts w:cs="Calibri"/>
                <w:color w:val="000000"/>
              </w:rPr>
            </w:pPr>
            <w:r w:rsidRPr="00D114D1">
              <w:rPr>
                <w:rFonts w:cs="Calibri"/>
                <w:color w:val="000000"/>
              </w:rPr>
              <w:t xml:space="preserve">Esta actuación en cuanto que supone la realización </w:t>
            </w:r>
            <w:r w:rsidR="0005260A" w:rsidRPr="0005260A">
              <w:rPr>
                <w:rFonts w:cs="Calibri"/>
                <w:color w:val="FF0000"/>
              </w:rPr>
              <w:t xml:space="preserve"> XXXXXXXXXXXXXX, es decir, trabajos de consultoría</w:t>
            </w:r>
            <w:r w:rsidR="0005260A" w:rsidRPr="00CF6E0B">
              <w:rPr>
                <w:rFonts w:cs="Calibri"/>
                <w:color w:val="000000"/>
              </w:rPr>
              <w:t xml:space="preserve"> </w:t>
            </w:r>
            <w:r w:rsidRPr="00D114D1">
              <w:rPr>
                <w:rFonts w:cs="Calibri"/>
                <w:color w:val="000000"/>
              </w:rPr>
              <w:t>no se espera que dé lugar a un aumento significativo de las emisiones de contaminantes a la atmósfera, el agua o el suelo.</w:t>
            </w:r>
          </w:p>
        </w:tc>
      </w:tr>
      <w:tr w:rsidR="007B3033" w:rsidRPr="003F035D" w:rsidTr="007B3033">
        <w:trPr>
          <w:trHeight w:val="1035"/>
        </w:trPr>
        <w:tc>
          <w:tcPr>
            <w:tcW w:w="274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t>Protección y restauración de la biodiversidad y los ecosistemas</w:t>
            </w:r>
          </w:p>
        </w:tc>
        <w:tc>
          <w:tcPr>
            <w:tcW w:w="441" w:type="dxa"/>
            <w:tcBorders>
              <w:top w:val="single" w:sz="4" w:space="0" w:color="auto"/>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p>
        </w:tc>
        <w:tc>
          <w:tcPr>
            <w:tcW w:w="437" w:type="dxa"/>
            <w:tcBorders>
              <w:top w:val="single" w:sz="4" w:space="0" w:color="auto"/>
              <w:left w:val="nil"/>
              <w:bottom w:val="single" w:sz="4" w:space="0" w:color="auto"/>
              <w:right w:val="single" w:sz="8" w:space="0" w:color="auto"/>
            </w:tcBorders>
            <w:shd w:val="clear" w:color="auto" w:fill="auto"/>
            <w:vAlign w:val="center"/>
            <w:hideMark/>
          </w:tcPr>
          <w:p w:rsidR="007B3033" w:rsidRPr="003F035D" w:rsidRDefault="007B3033" w:rsidP="007B3033">
            <w:pPr>
              <w:jc w:val="center"/>
              <w:rPr>
                <w:rFonts w:cs="Calibri"/>
                <w:color w:val="000000"/>
              </w:rPr>
            </w:pPr>
            <w:r w:rsidRPr="003F035D">
              <w:rPr>
                <w:rFonts w:cs="Calibri"/>
                <w:color w:val="000000"/>
              </w:rPr>
              <w:t> </w:t>
            </w:r>
          </w:p>
        </w:tc>
        <w:tc>
          <w:tcPr>
            <w:tcW w:w="11187" w:type="dxa"/>
            <w:tcBorders>
              <w:top w:val="single" w:sz="4" w:space="0" w:color="auto"/>
              <w:left w:val="nil"/>
              <w:bottom w:val="single" w:sz="4" w:space="0" w:color="auto"/>
              <w:right w:val="single" w:sz="8" w:space="0" w:color="auto"/>
            </w:tcBorders>
            <w:shd w:val="clear" w:color="auto" w:fill="auto"/>
            <w:vAlign w:val="center"/>
            <w:hideMark/>
          </w:tcPr>
          <w:p w:rsidR="007B3033" w:rsidRPr="00D114D1" w:rsidRDefault="007B3033" w:rsidP="007B3033">
            <w:pPr>
              <w:jc w:val="center"/>
              <w:rPr>
                <w:rFonts w:cs="Calibri"/>
                <w:color w:val="000000"/>
              </w:rPr>
            </w:pPr>
            <w:r w:rsidRPr="00D114D1">
              <w:rPr>
                <w:rFonts w:cs="Calibri"/>
                <w:color w:val="000000"/>
              </w:rPr>
              <w:t xml:space="preserve">Esta actuación en cuanto que supone la realización de </w:t>
            </w:r>
            <w:r w:rsidR="0005260A" w:rsidRPr="0005260A">
              <w:rPr>
                <w:rFonts w:cs="Calibri"/>
                <w:color w:val="FF0000"/>
              </w:rPr>
              <w:t xml:space="preserve"> XXXXXXXXXXXXXX, es decir, trabajos de consultoría</w:t>
            </w:r>
            <w:r w:rsidR="0005260A" w:rsidRPr="00CF6E0B">
              <w:rPr>
                <w:rFonts w:cs="Calibri"/>
                <w:color w:val="000000"/>
              </w:rPr>
              <w:t xml:space="preserve"> </w:t>
            </w:r>
            <w:r w:rsidRPr="00D114D1">
              <w:rPr>
                <w:rFonts w:cs="Calibri"/>
                <w:color w:val="000000"/>
              </w:rPr>
              <w:t>que finalmente y de forma residual requerirá la utilización de equipos informáticos, se asegurará que los equipos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2011/92/EU.</w:t>
            </w:r>
          </w:p>
        </w:tc>
      </w:tr>
    </w:tbl>
    <w:p w:rsidR="007B3033" w:rsidRPr="003F035D" w:rsidRDefault="007B3033" w:rsidP="007B3033">
      <w:pPr>
        <w:rPr>
          <w:rFonts w:cs="Calibri"/>
        </w:rPr>
      </w:pPr>
    </w:p>
    <w:sectPr w:rsidR="007B3033" w:rsidRPr="003F035D" w:rsidSect="007B3033">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4D" w:rsidRDefault="00C0044D" w:rsidP="00C0044D">
      <w:pPr>
        <w:spacing w:after="0" w:line="240" w:lineRule="auto"/>
      </w:pPr>
      <w:r>
        <w:separator/>
      </w:r>
    </w:p>
  </w:endnote>
  <w:endnote w:type="continuationSeparator" w:id="0">
    <w:p w:rsidR="00C0044D" w:rsidRDefault="00C0044D" w:rsidP="00C0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37" w:rsidRDefault="002F603C" w:rsidP="00615A3E">
    <w:pPr>
      <w:pStyle w:val="Piedepgina"/>
      <w:tabs>
        <w:tab w:val="clear" w:pos="8504"/>
        <w:tab w:val="right" w:pos="9720"/>
      </w:tabs>
      <w:ind w:left="-1200" w:right="-121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alt="http://intranet/sites/default/files/documentos/PROYECTOS_NEXT_GENERATION/ICONOS_PIES_DE_PAGINA/Vertical_EU_GOB_NG_SS_JCYL_DIP.jpg" style="width:513.15pt;height:42.45pt;visibility:visible">
          <v:imagedata r:id="rId1" o:title="Vertical_EU_GOB_NG_SS_JCYL_DIP"/>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4D" w:rsidRDefault="00C0044D" w:rsidP="00C0044D">
      <w:pPr>
        <w:spacing w:after="0" w:line="240" w:lineRule="auto"/>
      </w:pPr>
      <w:r>
        <w:separator/>
      </w:r>
    </w:p>
  </w:footnote>
  <w:footnote w:type="continuationSeparator" w:id="0">
    <w:p w:rsidR="00C0044D" w:rsidRDefault="00C0044D" w:rsidP="00C00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37" w:rsidRDefault="002F603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i1025" type="#_x0000_t75" alt="diputacion-de-burgos-logo-A50A231C74-seeklogo.com.png" style="width:48.7pt;height:26.2pt;visibility:visible">
          <v:imagedata r:id="rId1" o:title="diputacion-de-burgos-logo-A50A231C74-seek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2"/>
  </w:compat>
  <w:rsids>
    <w:rsidRoot w:val="007B3033"/>
    <w:rsid w:val="0005260A"/>
    <w:rsid w:val="00146175"/>
    <w:rsid w:val="002D3F89"/>
    <w:rsid w:val="002F603C"/>
    <w:rsid w:val="007B3033"/>
    <w:rsid w:val="00A11308"/>
    <w:rsid w:val="00B151C7"/>
    <w:rsid w:val="00BB7B60"/>
    <w:rsid w:val="00C0044D"/>
    <w:rsid w:val="00D03581"/>
    <w:rsid w:val="00DD1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33"/>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033"/>
    <w:pPr>
      <w:tabs>
        <w:tab w:val="center" w:pos="4252"/>
        <w:tab w:val="right" w:pos="8504"/>
      </w:tabs>
      <w:spacing w:after="0" w:line="240" w:lineRule="auto"/>
    </w:pPr>
  </w:style>
  <w:style w:type="character" w:customStyle="1" w:styleId="EncabezadoCar">
    <w:name w:val="Encabezado Car"/>
    <w:basedOn w:val="Fuentedeprrafopredeter"/>
    <w:link w:val="Encabezado"/>
    <w:rsid w:val="007B3033"/>
    <w:rPr>
      <w:rFonts w:ascii="Calibri" w:eastAsia="Times New Roman" w:hAnsi="Calibri" w:cs="Times New Roman"/>
      <w:lang w:eastAsia="es-ES"/>
    </w:rPr>
  </w:style>
  <w:style w:type="paragraph" w:styleId="Piedepgina">
    <w:name w:val="footer"/>
    <w:basedOn w:val="Normal"/>
    <w:link w:val="PiedepginaCar"/>
    <w:uiPriority w:val="99"/>
    <w:unhideWhenUsed/>
    <w:rsid w:val="007B30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3033"/>
    <w:rPr>
      <w:rFonts w:ascii="Calibri" w:eastAsia="Times New Roman" w:hAnsi="Calibri" w:cs="Times New Roman"/>
      <w:lang w:eastAsia="es-ES"/>
    </w:rPr>
  </w:style>
  <w:style w:type="paragraph" w:customStyle="1" w:styleId="Default">
    <w:name w:val="Default"/>
    <w:rsid w:val="007B3033"/>
    <w:pPr>
      <w:autoSpaceDE w:val="0"/>
      <w:autoSpaceDN w:val="0"/>
      <w:adjustRightInd w:val="0"/>
      <w:spacing w:after="0" w:line="240" w:lineRule="auto"/>
    </w:pPr>
    <w:rPr>
      <w:rFonts w:ascii="Arial Unicode MS" w:eastAsia="Calibri"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eelvira</dc:creator>
  <cp:lastModifiedBy>34626681425</cp:lastModifiedBy>
  <cp:revision>2</cp:revision>
  <dcterms:created xsi:type="dcterms:W3CDTF">2023-01-26T18:40:00Z</dcterms:created>
  <dcterms:modified xsi:type="dcterms:W3CDTF">2023-01-26T18:40:00Z</dcterms:modified>
</cp:coreProperties>
</file>